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20"/>
    <w:p>
      <w:pPr>
        <w:pStyle w:val="Heading1"/>
      </w:pPr>
      <w:r>
        <w:t xml:space="preserve">Homiletics Analysis: Luke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20 is a concentrated chapter of conflict and controversy set entirely within the Jerusalem temple precincts during the final week of Jesus’ earthly ministry. Following His triumphal entry and cleansing of the temple (19:45–46), Jesus teaches daily in the temple while the chief priests, scribes, and elders close ranks against Him. The chapter presents five distinct confrontations, each initiated by the religious establishment in an attempt to discredit, entrap, or silence Jesus — and each ending with Jesus’ complete authority vindicated and His opponents silenced or exposed.</w:t>
      </w:r>
    </w:p>
    <w:p>
      <w:pPr>
        <w:pStyle w:val="BodyText"/>
      </w:pPr>
      <w:r>
        <w:t xml:space="preserve">The chapter opens with a direct challenge to Jesus’ authority (vv. 1–8), to which Jesus responds with a counter-question about John’s baptism that His opponents cannot answer without self-incrimination. He follows with the Parable of the Wicked Tenants (vv. 9–19), which functions both as a judgment oracle and an implicit statement of His own identity as the Son. The tribute-to-Caesar question (vv. 20–26) attempts to entrap Jesus politically; His answer so transcends the trap that the questioners fall silent in astonishment. The Sadducees challenge the resurrection with an elaborate counter-scenario (vv. 27–40), and Jesus dismantles their naturalistic framework with a word from the Pentateuch, silencing them entirely. Jesus then seizes the initiative, asking whose son the Messiah is (vv. 41–44), exposing the inadequacy of merely-Davidic Messianic categories. The chapter closes with a public warning against the scribes (vv. 45–47), who perform religion for honor while devouring widows’ houses — their condemnation, Jesus says, will be greater.</w:t>
      </w:r>
    </w:p>
    <w:p>
      <w:pPr>
        <w:pStyle w:val="BodyText"/>
      </w:pPr>
      <w:r>
        <w:t xml:space="preserve">The underlying structural logic of the chapter is a sustained demonstration that Jesus is not one rabbi debating another: He is the Lord who owns the vineyard, the Son who supersedes all predecessors, the one before whom every human authority-claim collapses. Each exchange makes the same point from a different angle.</w:t>
      </w:r>
    </w:p>
    <w:p>
      <w:pPr>
        <w:pStyle w:val="BodyText"/>
      </w:pPr>
      <w:r>
        <w:rPr>
          <w:b/>
          <w:bCs/>
        </w:rPr>
        <w:t xml:space="preserve">This Text — Intent</w:t>
      </w:r>
    </w:p>
    <w:p>
      <w:pPr>
        <w:pStyle w:val="BodyText"/>
      </w:pPr>
      <w:r>
        <w:t xml:space="preserve">God’s intent through this chapter is to confront every reader with the inescapable question of Jesus’ identity and authority, and to expose the fatal bankruptcy of religious respectability that refuses to submit to Him. The chapter is not primarily a collection of clever debate techniques or social commentary. It is a sustained, multi-angle demonstration that Jesus is Lord — and that those who held the seats of religious authority in Israel refused to acknowledge it, not because the evidence was insufficient, but because the submission required was unacceptable. God intends this account to press the same question on every reader:</w:t>
      </w:r>
      <w:r>
        <w:t xml:space="preserve"> </w:t>
      </w:r>
      <w:r>
        <w:rPr>
          <w:i/>
          <w:iCs/>
        </w:rPr>
        <w:t xml:space="preserve">What do you do with Jesus’ authority?</w:t>
      </w:r>
      <w:r>
        <w:t xml:space="preserve"> </w:t>
      </w:r>
      <w:r>
        <w:t xml:space="preserve">The religious leaders in Luke 20 are not cautionary figures from a distant century — they are mirrors. The chapter diagnoses the specific form unbelief takes in the religiously sophisticated: the appearance of careful inquiry masking determined resistance. God seeks, through this passage, to strip that disguise away — and to call the reader to the submission and recognition of Jesus as Lord that the leaders refused.</w:t>
      </w:r>
    </w:p>
    <w:p>
      <w:r>
        <w:pict>
          <v:rect style="width:0;height:1.5pt" o:hralign="center" o:hrstd="t" o:hr="t"/>
        </w:pict>
      </w:r>
    </w:p>
    <w:p>
      <w:pPr>
        <w:pStyle w:val="FirstParagraph"/>
      </w:pPr>
      <w:r>
        <w:rPr>
          <w:b/>
          <w:bCs/>
        </w:rPr>
        <w:t xml:space="preserve">Subject Sentence:</w:t>
      </w:r>
      <w:r>
        <w:t xml:space="preserve"> </w:t>
      </w:r>
      <w:r>
        <w:t xml:space="preserve">Jesus’ authority is publicly vindicated in Jerusalem as every challenge from the religious establishment collapses before Him.</w:t>
      </w:r>
    </w:p>
    <w:p>
      <w:r>
        <w:pict>
          <v:rect style="width:0;height:1.5pt" o:hralign="center" o:hrstd="t" o:hr="t"/>
        </w:pict>
      </w:r>
    </w:p>
    <w:p>
      <w:pPr>
        <w:pStyle w:val="FirstParagraph"/>
      </w:pPr>
      <w:r>
        <w:rPr>
          <w:b/>
          <w:bCs/>
        </w:rPr>
        <w:t xml:space="preserve">Primary Claim:</w:t>
      </w:r>
      <w:r>
        <w:t xml:space="preserve"> </w:t>
      </w:r>
      <w:r>
        <w:t xml:space="preserve">God is pressing every reader to answer the question the religious leaders refused to answer — Jesus is Lord, and no religious sophistication, institutional prestige, or clever evasion can survive contact with that truth; the only honest response is submission.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Authority Conflict (vv. 1–8)</w:t>
      </w:r>
    </w:p>
    <w:p>
      <w:pPr>
        <w:pStyle w:val="BodyText"/>
      </w:pPr>
      <w:r>
        <w:t xml:space="preserve">Some traditions read the authority question primarily as a political confrontation — Jesus cleverly outmaneuvering the establishment to avoid arrest. This reading, common in social-gospel and liberation-theology frameworks, domesticates the exchange. The counter-question about John is not evasion; it is a trap that exposes the leaders’ fundamental dishonesty. They refuse to answer not because the question is too hard but because either answer exposes their bad faith. The Reformed reading insists this is a confrontation about</w:t>
      </w:r>
      <w:r>
        <w:t xml:space="preserve"> </w:t>
      </w:r>
      <w:r>
        <w:rPr>
          <w:i/>
          <w:iCs/>
        </w:rPr>
        <w:t xml:space="preserve">ultimate</w:t>
      </w:r>
      <w:r>
        <w:t xml:space="preserve"> </w:t>
      </w:r>
      <w:r>
        <w:t xml:space="preserve">authority — by whose commission does Jesus act? The answer the chapter implies throughout is: He acts by the Father’s commission as the Son sent to the vineyard (vv. 9–19). His authority is not derived from human ordination; it is inherent in His person. To acknowledge John’s authority (from heaven) would logically require acknowledging Jesus’ — which is precisely what they refuse.</w:t>
      </w:r>
    </w:p>
    <w:p>
      <w:pPr>
        <w:pStyle w:val="BodyText"/>
      </w:pPr>
      <w:r>
        <w:rPr>
          <w:b/>
          <w:bCs/>
        </w:rPr>
        <w:t xml:space="preserve">The Parable of the Wicked Tenants (vv. 9–19)</w:t>
      </w:r>
    </w:p>
    <w:p>
      <w:pPr>
        <w:pStyle w:val="BodyText"/>
      </w:pPr>
      <w:r>
        <w:t xml:space="preserve">Dispensational readings often emphasize the Israel-specific referent of the tenants: Israel is the vineyard, the leaders are the wicked tenants, the transferred vineyard represents the church receiving what Israel rejected. This is not wrong as far as it goes, but it can flatten the Christological center. The parable’s load-bearing point is not the transfer of privilege from one group to another — it is the identity of</w:t>
      </w:r>
      <w:r>
        <w:t xml:space="preserve"> </w:t>
      </w:r>
      <w:r>
        <w:t xml:space="preserve">“the beloved son”</w:t>
      </w:r>
      <w:r>
        <w:t xml:space="preserve"> </w:t>
      </w:r>
      <w:r>
        <w:t xml:space="preserve">and the response his arrival demands. The Christological claim is so transparent that the scribes and chief priests immediately understand Jesus is speaking about them (v. 19) — they recognize themselves as the tenants who refuse the son. The Reformed reading, following the redemptive-historical grain of the text, sees the parable as the chapter’s Christological thesis statement: Jesus is the Son sent last, after all the prophets; His rejection does not nullify His authority but becomes the occasion for the stone the builders rejected becoming the cornerstone (v. 17, citing Psalm 118:22). The</w:t>
      </w:r>
      <w:r>
        <w:t xml:space="preserve"> </w:t>
      </w:r>
      <w:r>
        <w:t xml:space="preserve">“others”</w:t>
      </w:r>
      <w:r>
        <w:t xml:space="preserve"> </w:t>
      </w:r>
      <w:r>
        <w:t xml:space="preserve">who receive the vineyard is not a secondary point about ecclesiology; it is a point about what happens to those who reject the Son.</w:t>
      </w:r>
    </w:p>
    <w:p>
      <w:pPr>
        <w:pStyle w:val="BodyText"/>
      </w:pPr>
      <w:r>
        <w:rPr>
          <w:b/>
          <w:bCs/>
        </w:rPr>
        <w:t xml:space="preserve">Qualify</w:t>
      </w:r>
      <w:r>
        <w:t xml:space="preserve">: The dispensational reading correctly identifies the Israel-referent and should be retained at the historical level. But it must not be allowed to shift the application horizon away from the universal demand: every reader is a potential tenant.</w:t>
      </w:r>
    </w:p>
    <w:p>
      <w:pPr>
        <w:pStyle w:val="BodyText"/>
      </w:pPr>
      <w:r>
        <w:rPr>
          <w:b/>
          <w:bCs/>
        </w:rPr>
        <w:t xml:space="preserve">The Resurrection Debate (vv. 27–40)</w:t>
      </w:r>
    </w:p>
    <w:p>
      <w:pPr>
        <w:pStyle w:val="BodyText"/>
      </w:pPr>
      <w:r>
        <w:t xml:space="preserve">Sadducean cessationism about the resurrection is here refuted not by appealing to explicit resurrection texts in the prophets, but by a Pentateuchal argument (Exodus 3:6):</w:t>
      </w:r>
      <w:r>
        <w:t xml:space="preserve"> </w:t>
      </w:r>
      <w:r>
        <w:t xml:space="preserve">“He is not God of the dead, but of the living.”</w:t>
      </w:r>
      <w:r>
        <w:t xml:space="preserve"> </w:t>
      </w:r>
      <w:r>
        <w:t xml:space="preserve">Jesus exposes the Sadducees’ failure not primarily as a theological error about a future event but as a failure to understand the nature of God — specifically, that covenant relationship with the living God cannot be severed by death. The Reformed reading insists this has direct bearing on how resurrection is grounded: it is not a philosophical claim about human immortality but a covenant claim about the faithfulness of God. Wesleyan readings sometimes locate the emphasis here in human capacity for eternal life; the text locates it in God’s character as the living God of covenant. The argument is theocentric, not anthropocentric.</w:t>
      </w:r>
    </w:p>
    <w:p>
      <w:pPr>
        <w:pStyle w:val="BodyText"/>
      </w:pPr>
      <w:r>
        <w:rPr>
          <w:b/>
          <w:bCs/>
        </w:rPr>
        <w:t xml:space="preserve">The Messianic Question (vv. 41–44)</w:t>
      </w:r>
    </w:p>
    <w:p>
      <w:pPr>
        <w:pStyle w:val="BodyText"/>
      </w:pPr>
      <w:r>
        <w:t xml:space="preserve">Some readings treat this pericope as primarily about correcting a Jewish political Messianism (Messiah as earthly Davidic king). This is correct as far as it goes. But the claim Jesus is making is more radical than</w:t>
      </w:r>
      <w:r>
        <w:t xml:space="preserve"> </w:t>
      </w:r>
      <w:r>
        <w:t xml:space="preserve">“the Messiah is more than political.”</w:t>
      </w:r>
      <w:r>
        <w:t xml:space="preserve"> </w:t>
      </w:r>
      <w:r>
        <w:t xml:space="preserve">He is pressing the identity question: if David calls the Messiah</w:t>
      </w:r>
      <w:r>
        <w:t xml:space="preserve"> </w:t>
      </w:r>
      <w:r>
        <w:t xml:space="preserve">“Lord,”</w:t>
      </w:r>
      <w:r>
        <w:t xml:space="preserve"> </w:t>
      </w:r>
      <w:r>
        <w:t xml:space="preserve">on what basis? The answer the text requires is divine Sonship — the Messiah is Lord because He is more than David’s son; He is David’s Lord. This is the most explicit Christological self-claim in the chapter and serves as the pivot from Jesus’ defensive posture (answering challenges) to His offensive posture (setting the terms of the Messianic question). The Baptist reading sometimes stops at</w:t>
      </w:r>
      <w:r>
        <w:t xml:space="preserve"> </w:t>
      </w:r>
      <w:r>
        <w:t xml:space="preserve">“Jesus transcends political Messianism”</w:t>
      </w:r>
      <w:r>
        <w:t xml:space="preserve"> </w:t>
      </w:r>
      <w:r>
        <w:t xml:space="preserve">without pressing the full weight of the divine Lordship claim. The Reformed reading presses it to its terminus: the Davidic son who is also David’s Lord is the second person of the Trinity incarnate.</w:t>
      </w:r>
    </w:p>
    <w:p>
      <w:pPr>
        <w:pStyle w:val="BodyText"/>
      </w:pPr>
      <w:r>
        <w:rPr>
          <w:b/>
          <w:bCs/>
        </w:rPr>
        <w:t xml:space="preserve">No significant interpretive divergence</w:t>
      </w:r>
      <w:r>
        <w:t xml:space="preserve"> </w:t>
      </w:r>
      <w:r>
        <w:t xml:space="preserve">on the warning against the scribes (vv. 45–47), which is a straightforward prophetic indictment.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118:22–23</w:t>
      </w:r>
      <w:r>
        <w:t xml:space="preserve"> </w:t>
      </w:r>
      <w:r>
        <w:t xml:space="preserve">—</w:t>
      </w:r>
      <w:r>
        <w:t xml:space="preserve"> </w:t>
      </w:r>
      <w:r>
        <w:t xml:space="preserve">“The stone the builders rejected has become the cornerstone.”</w:t>
      </w:r>
      <w:r>
        <w:t xml:space="preserve"> </w:t>
      </w:r>
      <w:r>
        <w:t xml:space="preserve">Jesus cites this directly (v. 17) as the interpretive key to the parable; the rejected Son does not lose — His rejection becomes the foundation of the new structure. The Psalm frames this as the LORD’s doing, marvelous in our eyes.</w:t>
      </w:r>
    </w:p>
    <w:p>
      <w:pPr>
        <w:numPr>
          <w:ilvl w:val="0"/>
          <w:numId w:val="1001"/>
        </w:numPr>
      </w:pPr>
      <w:r>
        <w:rPr>
          <w:b/>
          <w:bCs/>
        </w:rPr>
        <w:t xml:space="preserve">Psalm 110:1</w:t>
      </w:r>
      <w:r>
        <w:t xml:space="preserve"> </w:t>
      </w:r>
      <w:r>
        <w:t xml:space="preserve">—</w:t>
      </w:r>
      <w:r>
        <w:t xml:space="preserve"> </w:t>
      </w:r>
      <w:r>
        <w:t xml:space="preserve">“The LORD said to my Lord:</w:t>
      </w:r>
      <w:r>
        <w:t xml:space="preserve"> </w:t>
      </w:r>
      <w:r>
        <w:t xml:space="preserve">‘Sit at my right hand.’</w:t>
      </w:r>
      <w:r>
        <w:t xml:space="preserve">”</w:t>
      </w:r>
      <w:r>
        <w:t xml:space="preserve"> </w:t>
      </w:r>
      <w:r>
        <w:t xml:space="preserve">Jesus cites this (vv. 42–43) as the Messianic text the leaders cannot account for. Its canonical weight is enormous: it grounds Christ’s Lordship, His session, and His ultimate conquest of all enemies — and it comes from David himself.</w:t>
      </w:r>
    </w:p>
    <w:p>
      <w:pPr>
        <w:numPr>
          <w:ilvl w:val="0"/>
          <w:numId w:val="1001"/>
        </w:numPr>
      </w:pPr>
      <w:r>
        <w:rPr>
          <w:b/>
          <w:bCs/>
        </w:rPr>
        <w:t xml:space="preserve">Isaiah 5:1–7</w:t>
      </w:r>
      <w:r>
        <w:t xml:space="preserve"> </w:t>
      </w:r>
      <w:r>
        <w:t xml:space="preserve">— The Song of the Vineyard, which stands behind the Parable of the Wicked Tenants. Isaiah’s vineyard is Israel; the owner’s expectation is justice and righteousness; what he finds is bloodshed and a cry. Jesus draws on this tradition and sharpens it: the issue is not merely Israel’s failure to produce fruit but Israel’s rejection of the Son.</w:t>
      </w:r>
    </w:p>
    <w:p>
      <w:pPr>
        <w:numPr>
          <w:ilvl w:val="0"/>
          <w:numId w:val="1001"/>
        </w:numPr>
      </w:pPr>
      <w:r>
        <w:rPr>
          <w:b/>
          <w:bCs/>
        </w:rPr>
        <w:t xml:space="preserve">Exodus 3:6</w:t>
      </w:r>
      <w:r>
        <w:t xml:space="preserve"> </w:t>
      </w:r>
      <w:r>
        <w:t xml:space="preserve">—</w:t>
      </w:r>
      <w:r>
        <w:t xml:space="preserve"> </w:t>
      </w:r>
      <w:r>
        <w:t xml:space="preserve">“I am the God of Abraham, and the God of Isaac, and the God of Jacob.”</w:t>
      </w:r>
      <w:r>
        <w:t xml:space="preserve"> </w:t>
      </w:r>
      <w:r>
        <w:t xml:space="preserve">Jesus’ resurrection argument (vv. 37–38) rests on this. The canonical import is that God’s covenant relationship with His people is not dissolved by death — it is a living bond with the living God, which resurrection actualizes rather than initiates.</w:t>
      </w:r>
    </w:p>
    <w:p>
      <w:pPr>
        <w:numPr>
          <w:ilvl w:val="0"/>
          <w:numId w:val="1001"/>
        </w:numPr>
      </w:pPr>
      <w:r>
        <w:rPr>
          <w:b/>
          <w:bCs/>
        </w:rPr>
        <w:t xml:space="preserve">Daniel 7:13–14</w:t>
      </w:r>
      <w:r>
        <w:t xml:space="preserve"> </w:t>
      </w:r>
      <w:r>
        <w:t xml:space="preserve">— The Son of Man receives dominion, glory, and a kingdom from the Ancient of Days. Luke 20’s consistent pattern of authority-vindication moves toward this horizon: the authorities who challenge Jesus in the temple are challenging One whose authority will ultimately be exercised over all nations. The cornerstone that crushes (v. 18) draws on the same trajectory.</w:t>
      </w:r>
    </w:p>
    <w:p>
      <w:r>
        <w:pict>
          <v:rect style="width:0;height:1.5pt" o:hralign="center" o:hrstd="t" o:hr="t"/>
        </w:pict>
      </w:r>
    </w:p>
    <w:p>
      <w:pPr>
        <w:pStyle w:val="FirstParagraph"/>
      </w:pPr>
      <w:r>
        <w:rPr>
          <w:b/>
          <w:bCs/>
        </w:rPr>
        <w:t xml:space="preserve">Aim:</w:t>
      </w:r>
      <w:r>
        <w:t xml:space="preserve"> </w:t>
      </w:r>
      <w:r>
        <w:t xml:space="preserve">To demonstrate that Jesus’ authority is not one religious option among many but the inescapable claim of the Lord of the vineyard — and to press the reader to the submission and recognition the religious leaders in Jerusalem refused.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chief priests, scribes, and elders challenge Jesus’ authority as He teaches in the temple</w:t>
            </w:r>
          </w:p>
        </w:tc>
        <w:tc>
          <w:tcPr/>
          <w:p>
            <w:pPr>
              <w:pStyle w:val="Compact"/>
            </w:pPr>
            <w:r>
              <w:t xml:space="preserve">The challenge is direct:</w:t>
            </w:r>
            <w:r>
              <w:t xml:space="preserve"> </w:t>
            </w:r>
            <w:r>
              <w:t xml:space="preserve">“By what authority do you do these things?”</w:t>
            </w:r>
            <w:r>
              <w:t xml:space="preserve"> </w:t>
            </w:r>
            <w:r>
              <w:t xml:space="preserve">—</w:t>
            </w:r>
            <w:r>
              <w:t xml:space="preserve"> </w:t>
            </w:r>
            <w:r>
              <w:t xml:space="preserve">“these things”</w:t>
            </w:r>
            <w:r>
              <w:t xml:space="preserve"> </w:t>
            </w:r>
            <w:r>
              <w:t xml:space="preserve">= teaching and the temple cleansing (19:45–46)</w:t>
            </w:r>
          </w:p>
        </w:tc>
      </w:tr>
      <w:tr>
        <w:tc>
          <w:tcPr/>
          <w:p>
            <w:pPr>
              <w:pStyle w:val="Compact"/>
            </w:pPr>
            <w:r>
              <w:t xml:space="preserve">3–4</w:t>
            </w:r>
          </w:p>
        </w:tc>
        <w:tc>
          <w:tcPr/>
          <w:p>
            <w:pPr>
              <w:pStyle w:val="Compact"/>
            </w:pPr>
            <w:r>
              <w:t xml:space="preserve">Jesus counter-questions: Was John’s baptism from heaven or from men?</w:t>
            </w:r>
          </w:p>
        </w:tc>
        <w:tc>
          <w:tcPr/>
          <w:p>
            <w:pPr>
              <w:pStyle w:val="Compact"/>
            </w:pPr>
            <w:r>
              <w:t xml:space="preserve">The counter-question is not deflection — it is diagnostic; it exposes the questioners’ bad faith</w:t>
            </w:r>
          </w:p>
        </w:tc>
      </w:tr>
      <w:tr>
        <w:tc>
          <w:tcPr/>
          <w:p>
            <w:pPr>
              <w:pStyle w:val="Compact"/>
            </w:pPr>
            <w:r>
              <w:t xml:space="preserve">5–7</w:t>
            </w:r>
          </w:p>
        </w:tc>
        <w:tc>
          <w:tcPr/>
          <w:p>
            <w:pPr>
              <w:pStyle w:val="Compact"/>
            </w:pPr>
            <w:r>
              <w:t xml:space="preserve">The leaders deliberate and conclude they cannot answer either way without self-incrimination</w:t>
            </w:r>
          </w:p>
        </w:tc>
        <w:tc>
          <w:tcPr/>
          <w:p>
            <w:pPr>
              <w:pStyle w:val="Compact"/>
            </w:pPr>
            <w:r>
              <w:t xml:space="preserve">Their reasoning is entirely self-protective and politically calculated — no truth-seeking in evidence</w:t>
            </w:r>
          </w:p>
        </w:tc>
      </w:tr>
      <w:tr>
        <w:tc>
          <w:tcPr/>
          <w:p>
            <w:pPr>
              <w:pStyle w:val="Compact"/>
            </w:pPr>
            <w:r>
              <w:t xml:space="preserve">8</w:t>
            </w:r>
          </w:p>
        </w:tc>
        <w:tc>
          <w:tcPr/>
          <w:p>
            <w:pPr>
              <w:pStyle w:val="Compact"/>
            </w:pPr>
            <w:r>
              <w:t xml:space="preserve">Jesus declines to answer their question on the basis of their refusal to engage His</w:t>
            </w:r>
          </w:p>
        </w:tc>
        <w:tc>
          <w:tcPr/>
          <w:p>
            <w:pPr>
              <w:pStyle w:val="Compact"/>
            </w:pPr>
            <w:r>
              <w:t xml:space="preserve">Authority is not given to those who refuse its premises</w:t>
            </w:r>
          </w:p>
        </w:tc>
      </w:tr>
      <w:tr>
        <w:tc>
          <w:tcPr/>
          <w:p>
            <w:pPr>
              <w:pStyle w:val="Compact"/>
            </w:pPr>
            <w:r>
              <w:t xml:space="preserve">9–12</w:t>
            </w:r>
          </w:p>
        </w:tc>
        <w:tc>
          <w:tcPr/>
          <w:p>
            <w:pPr>
              <w:pStyle w:val="Compact"/>
            </w:pPr>
            <w:r>
              <w:t xml:space="preserve">Parable of the Wicked Tenants: a man plants a vineyard, leases it, sends three servants for fruit — each is beaten and sent away empty</w:t>
            </w:r>
          </w:p>
        </w:tc>
        <w:tc>
          <w:tcPr/>
          <w:p>
            <w:pPr>
              <w:pStyle w:val="Compact"/>
            </w:pPr>
            <w:r>
              <w:t xml:space="preserve">Servants = the prophets; the pattern of rejection is established before the climactic sending of the Son</w:t>
            </w:r>
          </w:p>
        </w:tc>
      </w:tr>
      <w:tr>
        <w:tc>
          <w:tcPr/>
          <w:p>
            <w:pPr>
              <w:pStyle w:val="Compact"/>
            </w:pPr>
            <w:r>
              <w:t xml:space="preserve">13–15a</w:t>
            </w:r>
          </w:p>
        </w:tc>
        <w:tc>
          <w:tcPr/>
          <w:p>
            <w:pPr>
              <w:pStyle w:val="Compact"/>
            </w:pPr>
            <w:r>
              <w:t xml:space="preserve">The owner sends his</w:t>
            </w:r>
            <w:r>
              <w:t xml:space="preserve"> </w:t>
            </w:r>
            <w:r>
              <w:t xml:space="preserve">“beloved son,”</w:t>
            </w:r>
            <w:r>
              <w:t xml:space="preserve"> </w:t>
            </w:r>
            <w:r>
              <w:t xml:space="preserve">reasoning the tenants will respect him; instead they kill him to seize the inheritance</w:t>
            </w:r>
          </w:p>
        </w:tc>
        <w:tc>
          <w:tcPr/>
          <w:p>
            <w:pPr>
              <w:pStyle w:val="Compact"/>
            </w:pPr>
            <w:r>
              <w:t xml:space="preserve">“Beloved son”</w:t>
            </w:r>
            <w:r>
              <w:t xml:space="preserve"> </w:t>
            </w:r>
            <w:r>
              <w:t xml:space="preserve">is the same language as the baptism and transfiguration (3:22; 9:35) — the identification is explicit</w:t>
            </w:r>
          </w:p>
        </w:tc>
      </w:tr>
      <w:tr>
        <w:tc>
          <w:tcPr/>
          <w:p>
            <w:pPr>
              <w:pStyle w:val="Compact"/>
            </w:pPr>
            <w:r>
              <w:t xml:space="preserve">15b–16</w:t>
            </w:r>
          </w:p>
        </w:tc>
        <w:tc>
          <w:tcPr/>
          <w:p>
            <w:pPr>
              <w:pStyle w:val="Compact"/>
            </w:pPr>
            <w:r>
              <w:t xml:space="preserve">Jesus asks what the owner will do; answers: he will destroy the tenants and give the vineyard to others</w:t>
            </w:r>
          </w:p>
        </w:tc>
        <w:tc>
          <w:tcPr/>
          <w:p>
            <w:pPr>
              <w:pStyle w:val="Compact"/>
            </w:pPr>
            <w:r>
              <w:t xml:space="preserve">The leaders respond:</w:t>
            </w:r>
            <w:r>
              <w:t xml:space="preserve"> </w:t>
            </w:r>
            <w:r>
              <w:t xml:space="preserve">“May it never be!”</w:t>
            </w:r>
            <w:r>
              <w:t xml:space="preserve"> </w:t>
            </w:r>
            <w:r>
              <w:t xml:space="preserve">— they understand the implication</w:t>
            </w:r>
          </w:p>
        </w:tc>
      </w:tr>
      <w:tr>
        <w:tc>
          <w:tcPr/>
          <w:p>
            <w:pPr>
              <w:pStyle w:val="Compact"/>
            </w:pPr>
            <w:r>
              <w:t xml:space="preserve">17–18</w:t>
            </w:r>
          </w:p>
        </w:tc>
        <w:tc>
          <w:tcPr/>
          <w:p>
            <w:pPr>
              <w:pStyle w:val="Compact"/>
            </w:pPr>
            <w:r>
              <w:t xml:space="preserve">Jesus cites Psalm 118:22 — the rejected stone becomes the cornerstone; it will crush those on whom it falls</w:t>
            </w:r>
          </w:p>
        </w:tc>
        <w:tc>
          <w:tcPr/>
          <w:p>
            <w:pPr>
              <w:pStyle w:val="Compact"/>
            </w:pPr>
            <w:r>
              <w:t xml:space="preserve">The cornerstone image inverts the judgment: the rejected One becomes the foundation; those who reject Him are broken</w:t>
            </w:r>
          </w:p>
        </w:tc>
      </w:tr>
      <w:tr>
        <w:tc>
          <w:tcPr/>
          <w:p>
            <w:pPr>
              <w:pStyle w:val="Compact"/>
            </w:pPr>
            <w:r>
              <w:t xml:space="preserve">19</w:t>
            </w:r>
          </w:p>
        </w:tc>
        <w:tc>
          <w:tcPr/>
          <w:p>
            <w:pPr>
              <w:pStyle w:val="Compact"/>
            </w:pPr>
            <w:r>
              <w:t xml:space="preserve">The scribes and chief priests seek to arrest Jesus but fear the people; they perceive He told the parable against them</w:t>
            </w:r>
          </w:p>
        </w:tc>
        <w:tc>
          <w:tcPr/>
          <w:p>
            <w:pPr>
              <w:pStyle w:val="Compact"/>
            </w:pPr>
            <w:r>
              <w:t xml:space="preserve">The parable’s transparency is their indictment — they understood it correctly</w:t>
            </w:r>
          </w:p>
        </w:tc>
      </w:tr>
      <w:tr>
        <w:tc>
          <w:tcPr/>
          <w:p>
            <w:pPr>
              <w:pStyle w:val="Compact"/>
            </w:pPr>
            <w:r>
              <w:t xml:space="preserve">20–22</w:t>
            </w:r>
          </w:p>
        </w:tc>
        <w:tc>
          <w:tcPr/>
          <w:p>
            <w:pPr>
              <w:pStyle w:val="Compact"/>
            </w:pPr>
            <w:r>
              <w:t xml:space="preserve">Spies are sent to entrap Jesus on the tribute question:</w:t>
            </w:r>
            <w:r>
              <w:t xml:space="preserve"> </w:t>
            </w:r>
            <w:r>
              <w:t xml:space="preserve">“Is it lawful to pay taxes to Caesar, or not?”</w:t>
            </w:r>
          </w:p>
        </w:tc>
        <w:tc>
          <w:tcPr/>
          <w:p>
            <w:pPr>
              <w:pStyle w:val="Compact"/>
            </w:pPr>
            <w:r>
              <w:t xml:space="preserve">The trap is political: yes = Roman collaborator; no = insurrectionist</w:t>
            </w:r>
          </w:p>
        </w:tc>
      </w:tr>
      <w:tr>
        <w:tc>
          <w:tcPr/>
          <w:p>
            <w:pPr>
              <w:pStyle w:val="Compact"/>
            </w:pPr>
            <w:r>
              <w:t xml:space="preserve">23–25</w:t>
            </w:r>
          </w:p>
        </w:tc>
        <w:tc>
          <w:tcPr/>
          <w:p>
            <w:pPr>
              <w:pStyle w:val="Compact"/>
            </w:pPr>
            <w:r>
              <w:t xml:space="preserve">Jesus asks whose image is on the denarius;</w:t>
            </w:r>
            <w:r>
              <w:t xml:space="preserve"> </w:t>
            </w:r>
            <w:r>
              <w:t xml:space="preserve">“Caesar’s”</w:t>
            </w:r>
            <w:r>
              <w:t xml:space="preserve">;</w:t>
            </w:r>
            <w:r>
              <w:t xml:space="preserve"> </w:t>
            </w:r>
            <w:r>
              <w:t xml:space="preserve">“Then render to Caesar what is Caesar’s, and to God what is God’s”</w:t>
            </w:r>
          </w:p>
        </w:tc>
        <w:tc>
          <w:tcPr/>
          <w:p>
            <w:pPr>
              <w:pStyle w:val="Compact"/>
            </w:pPr>
            <w:r>
              <w:t xml:space="preserve">The answer transcends the binary trap by establishing two distinct obligation-spheres</w:t>
            </w:r>
          </w:p>
        </w:tc>
      </w:tr>
      <w:tr>
        <w:tc>
          <w:tcPr/>
          <w:p>
            <w:pPr>
              <w:pStyle w:val="Compact"/>
            </w:pPr>
            <w:r>
              <w:t xml:space="preserve">26</w:t>
            </w:r>
          </w:p>
        </w:tc>
        <w:tc>
          <w:tcPr/>
          <w:p>
            <w:pPr>
              <w:pStyle w:val="Compact"/>
            </w:pPr>
            <w:r>
              <w:t xml:space="preserve">They fall silent in astonishment; they cannot catch Him in what He said before the people</w:t>
            </w:r>
          </w:p>
        </w:tc>
        <w:tc>
          <w:tcPr/>
          <w:p>
            <w:pPr>
              <w:pStyle w:val="Compact"/>
            </w:pPr>
            <w:r>
              <w:t xml:space="preserve">The third consecutive defeat of Jesus’ opponents</w:t>
            </w:r>
          </w:p>
        </w:tc>
      </w:tr>
      <w:tr>
        <w:tc>
          <w:tcPr/>
          <w:p>
            <w:pPr>
              <w:pStyle w:val="Compact"/>
            </w:pPr>
            <w:r>
              <w:t xml:space="preserve">27–33</w:t>
            </w:r>
          </w:p>
        </w:tc>
        <w:tc>
          <w:tcPr/>
          <w:p>
            <w:pPr>
              <w:pStyle w:val="Compact"/>
            </w:pPr>
            <w:r>
              <w:t xml:space="preserve">Sadducees (who deny resurrection) present the levirate marriage scenario: seven brothers, one wife — whose wife in the resurrection?</w:t>
            </w:r>
          </w:p>
        </w:tc>
        <w:tc>
          <w:tcPr/>
          <w:p>
            <w:pPr>
              <w:pStyle w:val="Compact"/>
            </w:pPr>
            <w:r>
              <w:t xml:space="preserve">The scenario is designed to make resurrection look absurd; it assumes the resurrection life is a continuation of present categories</w:t>
            </w:r>
          </w:p>
        </w:tc>
      </w:tr>
      <w:tr>
        <w:tc>
          <w:tcPr/>
          <w:p>
            <w:pPr>
              <w:pStyle w:val="Compact"/>
            </w:pPr>
            <w:r>
              <w:t xml:space="preserve">34–36</w:t>
            </w:r>
          </w:p>
        </w:tc>
        <w:tc>
          <w:tcPr/>
          <w:p>
            <w:pPr>
              <w:pStyle w:val="Compact"/>
            </w:pPr>
            <w:r>
              <w:t xml:space="preserve">Jesus: those in the resurrection neither marry nor are given in marriage — they are like angels, sons of God, sons of the resurrection</w:t>
            </w:r>
          </w:p>
        </w:tc>
        <w:tc>
          <w:tcPr/>
          <w:p>
            <w:pPr>
              <w:pStyle w:val="Compact"/>
            </w:pPr>
            <w:r>
              <w:t xml:space="preserve">The resurrection is not resuscitation into present arrangements — it is a qualitatively new mode of existence</w:t>
            </w:r>
          </w:p>
        </w:tc>
      </w:tr>
      <w:tr>
        <w:tc>
          <w:tcPr/>
          <w:p>
            <w:pPr>
              <w:pStyle w:val="Compact"/>
            </w:pPr>
            <w:r>
              <w:t xml:space="preserve">37–38</w:t>
            </w:r>
          </w:p>
        </w:tc>
        <w:tc>
          <w:tcPr/>
          <w:p>
            <w:pPr>
              <w:pStyle w:val="Compact"/>
            </w:pPr>
            <w:r>
              <w:t xml:space="preserve">Jesus’ Pentateuchal argument: Moses called the Lord</w:t>
            </w:r>
            <w:r>
              <w:t xml:space="preserve"> </w:t>
            </w:r>
            <w:r>
              <w:t xml:space="preserve">“the God of Abraham, Isaac, and Jacob”</w:t>
            </w:r>
            <w:r>
              <w:t xml:space="preserve"> </w:t>
            </w:r>
            <w:r>
              <w:t xml:space="preserve">— He is not God of the dead but of the living</w:t>
            </w:r>
          </w:p>
        </w:tc>
        <w:tc>
          <w:tcPr/>
          <w:p>
            <w:pPr>
              <w:pStyle w:val="Compact"/>
            </w:pPr>
            <w:r>
              <w:t xml:space="preserve">The argument is covenantal: God’s living relationship with the patriarchs cannot be severed by death; resurrection is implied in covenant faithfulness</w:t>
            </w:r>
          </w:p>
        </w:tc>
      </w:tr>
      <w:tr>
        <w:tc>
          <w:tcPr/>
          <w:p>
            <w:pPr>
              <w:pStyle w:val="Compact"/>
            </w:pPr>
            <w:r>
              <w:t xml:space="preserve">39–40</w:t>
            </w:r>
          </w:p>
        </w:tc>
        <w:tc>
          <w:tcPr/>
          <w:p>
            <w:pPr>
              <w:pStyle w:val="Compact"/>
            </w:pPr>
            <w:r>
              <w:t xml:space="preserve">Some scribes affirm the answer:</w:t>
            </w:r>
            <w:r>
              <w:t xml:space="preserve"> </w:t>
            </w:r>
            <w:r>
              <w:t xml:space="preserve">“Teacher, you have spoken well”</w:t>
            </w:r>
            <w:r>
              <w:t xml:space="preserve">; no one dares to ask Him any more questions</w:t>
            </w:r>
          </w:p>
        </w:tc>
        <w:tc>
          <w:tcPr/>
          <w:p>
            <w:pPr>
              <w:pStyle w:val="Compact"/>
            </w:pPr>
            <w:r>
              <w:t xml:space="preserve">Even Jesus’ opponents concede the excellence of the answer; the silencing is total</w:t>
            </w:r>
          </w:p>
        </w:tc>
      </w:tr>
      <w:tr>
        <w:tc>
          <w:tcPr/>
          <w:p>
            <w:pPr>
              <w:pStyle w:val="Compact"/>
            </w:pPr>
            <w:r>
              <w:t xml:space="preserve">41–44</w:t>
            </w:r>
          </w:p>
        </w:tc>
        <w:tc>
          <w:tcPr/>
          <w:p>
            <w:pPr>
              <w:pStyle w:val="Compact"/>
            </w:pPr>
            <w:r>
              <w:t xml:space="preserve">Jesus asks: How can the Messiah be David’s son when David calls Him</w:t>
            </w:r>
            <w:r>
              <w:t xml:space="preserve"> </w:t>
            </w:r>
            <w:r>
              <w:t xml:space="preserve">“Lord”</w:t>
            </w:r>
            <w:r>
              <w:t xml:space="preserve"> </w:t>
            </w:r>
            <w:r>
              <w:t xml:space="preserve">in Psalm 110?</w:t>
            </w:r>
          </w:p>
        </w:tc>
        <w:tc>
          <w:tcPr/>
          <w:p>
            <w:pPr>
              <w:pStyle w:val="Compact"/>
            </w:pPr>
            <w:r>
              <w:t xml:space="preserve">Jesus now moves from defense to offense; the question reframes all Messianic categories around divine Lordship</w:t>
            </w:r>
          </w:p>
        </w:tc>
      </w:tr>
      <w:tr>
        <w:tc>
          <w:tcPr/>
          <w:p>
            <w:pPr>
              <w:pStyle w:val="Compact"/>
            </w:pPr>
            <w:r>
              <w:t xml:space="preserve">45–47</w:t>
            </w:r>
          </w:p>
        </w:tc>
        <w:tc>
          <w:tcPr/>
          <w:p>
            <w:pPr>
              <w:pStyle w:val="Compact"/>
            </w:pPr>
            <w:r>
              <w:t xml:space="preserve">Warning to disciples against the scribes: they seek honor in public places but devour widows’ houses; their condemnation will be greater</w:t>
            </w:r>
          </w:p>
        </w:tc>
        <w:tc>
          <w:tcPr/>
          <w:p>
            <w:pPr>
              <w:pStyle w:val="Compact"/>
            </w:pPr>
            <w:r>
              <w:t xml:space="preserve">The exposure of the scribes’ false religion closes the chapter; religious performance that exploits the vulnerable is under greatest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Challenge to Jesus’ Authority — and His Counter-Challenge</w:t>
            </w:r>
          </w:p>
        </w:tc>
      </w:tr>
      <w:tr>
        <w:tc>
          <w:tcPr/>
          <w:p>
            <w:pPr>
              <w:pStyle w:val="Compact"/>
            </w:pPr>
            <w:r>
              <w:t xml:space="preserve">2</w:t>
            </w:r>
          </w:p>
        </w:tc>
        <w:tc>
          <w:tcPr/>
          <w:p>
            <w:pPr>
              <w:pStyle w:val="Compact"/>
            </w:pPr>
            <w:r>
              <w:t xml:space="preserve">9–19</w:t>
            </w:r>
          </w:p>
        </w:tc>
        <w:tc>
          <w:tcPr/>
          <w:p>
            <w:pPr>
              <w:pStyle w:val="Compact"/>
            </w:pPr>
            <w:r>
              <w:t xml:space="preserve">The Parable of the Wicked Tenants — Identity and Judgment Declared</w:t>
            </w:r>
          </w:p>
        </w:tc>
      </w:tr>
      <w:tr>
        <w:tc>
          <w:tcPr/>
          <w:p>
            <w:pPr>
              <w:pStyle w:val="Compact"/>
            </w:pPr>
            <w:r>
              <w:t xml:space="preserve">3</w:t>
            </w:r>
          </w:p>
        </w:tc>
        <w:tc>
          <w:tcPr/>
          <w:p>
            <w:pPr>
              <w:pStyle w:val="Compact"/>
            </w:pPr>
            <w:r>
              <w:t xml:space="preserve">20–26</w:t>
            </w:r>
          </w:p>
        </w:tc>
        <w:tc>
          <w:tcPr/>
          <w:p>
            <w:pPr>
              <w:pStyle w:val="Compact"/>
            </w:pPr>
            <w:r>
              <w:t xml:space="preserve">The Tribute Question — Caesar’s Sphere and God’s Sphere</w:t>
            </w:r>
          </w:p>
        </w:tc>
      </w:tr>
      <w:tr>
        <w:tc>
          <w:tcPr/>
          <w:p>
            <w:pPr>
              <w:pStyle w:val="Compact"/>
            </w:pPr>
            <w:r>
              <w:t xml:space="preserve">4</w:t>
            </w:r>
          </w:p>
        </w:tc>
        <w:tc>
          <w:tcPr/>
          <w:p>
            <w:pPr>
              <w:pStyle w:val="Compact"/>
            </w:pPr>
            <w:r>
              <w:t xml:space="preserve">27–40</w:t>
            </w:r>
          </w:p>
        </w:tc>
        <w:tc>
          <w:tcPr/>
          <w:p>
            <w:pPr>
              <w:pStyle w:val="Compact"/>
            </w:pPr>
            <w:r>
              <w:t xml:space="preserve">The Resurrection Question — The Living God and the Living Dead</w:t>
            </w:r>
          </w:p>
        </w:tc>
      </w:tr>
      <w:tr>
        <w:tc>
          <w:tcPr/>
          <w:p>
            <w:pPr>
              <w:pStyle w:val="Compact"/>
            </w:pPr>
            <w:r>
              <w:t xml:space="preserve">5</w:t>
            </w:r>
          </w:p>
        </w:tc>
        <w:tc>
          <w:tcPr/>
          <w:p>
            <w:pPr>
              <w:pStyle w:val="Compact"/>
            </w:pPr>
            <w:r>
              <w:t xml:space="preserve">41–44</w:t>
            </w:r>
          </w:p>
        </w:tc>
        <w:tc>
          <w:tcPr/>
          <w:p>
            <w:pPr>
              <w:pStyle w:val="Compact"/>
            </w:pPr>
            <w:r>
              <w:t xml:space="preserve">The Messianic Question — David’s Son Who Is David’s Lord</w:t>
            </w:r>
          </w:p>
        </w:tc>
      </w:tr>
      <w:tr>
        <w:tc>
          <w:tcPr/>
          <w:p>
            <w:pPr>
              <w:pStyle w:val="Compact"/>
            </w:pPr>
            <w:r>
              <w:t xml:space="preserve">6</w:t>
            </w:r>
          </w:p>
        </w:tc>
        <w:tc>
          <w:tcPr/>
          <w:p>
            <w:pPr>
              <w:pStyle w:val="Compact"/>
            </w:pPr>
            <w:r>
              <w:t xml:space="preserve">45–47</w:t>
            </w:r>
          </w:p>
        </w:tc>
        <w:tc>
          <w:tcPr/>
          <w:p>
            <w:pPr>
              <w:pStyle w:val="Compact"/>
            </w:pPr>
            <w:r>
              <w:t xml:space="preserve">Warning Against the Scribes — Religion Without Submission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authority is publicly vindicated in Jerusalem as every challenge from the religious establishment collapses before Him.</w:t>
      </w:r>
    </w:p>
    <w:p>
      <w:pPr>
        <w:pStyle w:val="BodyText"/>
      </w:pPr>
      <w:r>
        <w:rPr>
          <w:b/>
          <w:bCs/>
        </w:rPr>
        <w:t xml:space="preserve">Primary Claim:</w:t>
      </w:r>
      <w:r>
        <w:t xml:space="preserve"> </w:t>
      </w:r>
      <w:r>
        <w:t xml:space="preserve">God is pressing every reader to answer the question the religious leaders refused to answer — Jesus is Lord, and no religious sophistication, institutional prestige, or clever evasion can survive contact with that truth; the only honest response is submission.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theological questions are truth-seeking or self-protecting.</w:t>
      </w:r>
      <w:r>
        <w:t xml:space="preserve"> </w:t>
      </w:r>
      <w:r>
        <w:rPr>
          <w:i/>
          <w:iCs/>
        </w:rPr>
        <w:t xml:space="preserve">(Mind/Belief)</w:t>
      </w:r>
      <w:r>
        <w:t xml:space="preserve"> </w:t>
      </w:r>
      <w:r>
        <w:t xml:space="preserve">The religious leaders in Luke 20 do not ask bad questions — they ask questions they have already decided not to answer honestly. Their deliberation in verses 5–7 is not theological reflection; it is political calculation:</w:t>
      </w:r>
      <w:r>
        <w:t xml:space="preserve"> </w:t>
      </w:r>
      <w:r>
        <w:t xml:space="preserve">“What answer is safest for us?”</w:t>
      </w:r>
      <w:r>
        <w:t xml:space="preserve"> </w:t>
      </w:r>
      <w:r>
        <w:t xml:space="preserve">Before you bring your hardest questions about Jesus to Scripture, ask yourself: Am I willing to follow the answer wherever it leads, including to submission? The diagnostic test is not whether you have questions — Jesus welcomes questions — but whether you are genuinely open to His authority over the answer. Questions that are not open to Jesus’ authority are not inquiry; they are resistance dressed as inquiry.</w:t>
      </w:r>
    </w:p>
    <w:p>
      <w:pPr>
        <w:pStyle w:val="BodyText"/>
      </w:pPr>
      <w:r>
        <w:rPr>
          <w:b/>
          <w:bCs/>
        </w:rPr>
        <w:t xml:space="preserve">2. Recognize that Jesus’ rejection does not disprove His authority — it establishes it.</w:t>
      </w:r>
      <w:r>
        <w:t xml:space="preserve"> </w:t>
      </w:r>
      <w:r>
        <w:rPr>
          <w:i/>
          <w:iCs/>
        </w:rPr>
        <w:t xml:space="preserve">(Mind/Belief)</w:t>
      </w:r>
      <w:r>
        <w:t xml:space="preserve"> </w:t>
      </w:r>
      <w:r>
        <w:t xml:space="preserve">The cornerstone that the builders rejected became the cornerstone precisely through its rejection (v. 17). This means that the scandal of the cross — the apparent defeat of Jesus at the hands of the establishment — is not evidence against His Lordship but is woven into the very structure of how His Lordship is established. When Jesus looks defeated, rejected, silenced, or irrelevant to your world, you are standing where the builders stood, holding the rejected stone. The question is whether you will set it aside or recognize what it actually is.</w:t>
      </w:r>
    </w:p>
    <w:p>
      <w:pPr>
        <w:pStyle w:val="BodyText"/>
      </w:pPr>
      <w:r>
        <w:rPr>
          <w:b/>
          <w:bCs/>
        </w:rPr>
        <w:t xml:space="preserve">3. Let your soul take the full weight of Jesus as David’s Lord, not merely David’s son.</w:t>
      </w:r>
      <w:r>
        <w:t xml:space="preserve"> </w:t>
      </w:r>
      <w:r>
        <w:rPr>
          <w:i/>
          <w:iCs/>
        </w:rPr>
        <w:t xml:space="preserve">(Affections/Worship)</w:t>
      </w:r>
      <w:r>
        <w:t xml:space="preserve"> </w:t>
      </w:r>
      <w:r>
        <w:t xml:space="preserve">It is possible to affirm Jesus as a great teacher, a moral exemplar, a religious hero — the best of the Jewish prophetic tradition, David’s greatest descendant — and still miss Him entirely. The Messianic question Jesus poses in verses 41–44 is designed to rupture that category. David calls Him</w:t>
      </w:r>
      <w:r>
        <w:t xml:space="preserve"> </w:t>
      </w:r>
      <w:r>
        <w:t xml:space="preserve">“Lord.”</w:t>
      </w:r>
      <w:r>
        <w:t xml:space="preserve"> </w:t>
      </w:r>
      <w:r>
        <w:t xml:space="preserve">The one who sits at the right hand of the Father until His enemies are made His footstool is not a figure you manage, deploy, or invoke for spiritual benefit. He is Lord. Let that weight settle on you. Not</w:t>
      </w:r>
      <w:r>
        <w:t xml:space="preserve"> </w:t>
      </w:r>
      <w:r>
        <w:t xml:space="preserve">“Jesus is important to me”</w:t>
      </w:r>
      <w:r>
        <w:t xml:space="preserve"> </w:t>
      </w:r>
      <w:r>
        <w:t xml:space="preserve">— but</w:t>
      </w:r>
      <w:r>
        <w:t xml:space="preserve"> </w:t>
      </w:r>
      <w:r>
        <w:t xml:space="preserve">“Jesus is Lord of me.”</w:t>
      </w:r>
      <w:r>
        <w:t xml:space="preserve"> </w:t>
      </w:r>
      <w:r>
        <w:t xml:space="preserve">Worship should feel the difference.</w:t>
      </w:r>
    </w:p>
    <w:p>
      <w:pPr>
        <w:pStyle w:val="BodyText"/>
      </w:pPr>
      <w:r>
        <w:rPr>
          <w:b/>
          <w:bCs/>
        </w:rPr>
        <w:t xml:space="preserve">4. Stop performing religion for the honor it generates and audit what your religious activity is actually costing others.</w:t>
      </w:r>
      <w:r>
        <w:t xml:space="preserve"> </w:t>
      </w:r>
      <w:r>
        <w:rPr>
          <w:i/>
          <w:iCs/>
        </w:rPr>
        <w:t xml:space="preserve">(Will/Behavior)</w:t>
      </w:r>
      <w:r>
        <w:t xml:space="preserve"> </w:t>
      </w:r>
      <w:r>
        <w:t xml:space="preserve">The scribes’ condemnation in verses 45–47 is not for theological error — it is for leveraging religious respectability to extract resources from vulnerable people (widows) while performing piety in public places. The warning is not to notorious sinners but to prominent religious practitioners. The audit Jesus calls for is not of your doctrine but of your practice: Who benefits from your religious activity — you, or the people around you? Does your visibility in religious community translate into actual service and sacrifice for the vulnerable, or does it translate into social capital and material advantage? The scribes did not stop believing in God; they simply arranged their religious life around themselves rather than around God and neighbor.</w:t>
      </w:r>
    </w:p>
    <w:p>
      <w:pPr>
        <w:pStyle w:val="BodyText"/>
      </w:pPr>
      <w:r>
        <w:rPr>
          <w:b/>
          <w:bCs/>
        </w:rPr>
        <w:t xml:space="preserve">5. Rest in the certainty that the living God does not abandon His covenant people to death.</w:t>
      </w:r>
      <w:r>
        <w:t xml:space="preserve"> </w:t>
      </w:r>
      <w:r>
        <w:rPr>
          <w:i/>
          <w:iCs/>
        </w:rPr>
        <w:t xml:space="preserve">(Affections/Worship)</w:t>
      </w:r>
      <w:r>
        <w:t xml:space="preserve"> </w:t>
      </w:r>
      <w:r>
        <w:t xml:space="preserve">Jesus’ resurrection argument from Exodus 3 (vv. 37–38) is not primarily a philosophical proof — it is a covenant assurance. God said to Moses,</w:t>
      </w:r>
      <w:r>
        <w:t xml:space="preserve"> </w:t>
      </w:r>
      <w:r>
        <w:t xml:space="preserve">“I am the God of Abraham, Isaac, and Jacob”</w:t>
      </w:r>
      <w:r>
        <w:t xml:space="preserve"> </w:t>
      </w:r>
      <w:r>
        <w:t xml:space="preserve">— not</w:t>
      </w:r>
      <w:r>
        <w:t xml:space="preserve"> </w:t>
      </w:r>
      <w:r>
        <w:t xml:space="preserve">“I was.”</w:t>
      </w:r>
      <w:r>
        <w:t xml:space="preserve"> </w:t>
      </w:r>
      <w:r>
        <w:t xml:space="preserve">The present-tense covenant relationship God maintains with His people is not severed by death; it is fulfilled through resurrection. If you are in Christ — if you are Abraham’s heir by faith — then the God who called Himself your God in the present tense is not finished with you when you die. Your resurrection is not a speculative hope; it is the logical entailment of a living God who is your God. Stop grieving as those who have no hope. The God you belong to is not God of the dead.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20 is a concentrated Christological manifesto. It establishes that Jesus’ authority is not a claim that can be evaluated on neutral ground — it confronts every person who encounters it with a demand for recognition and submission. The chapter teaches that Jesus is the Son whom the Father sent last and greatest (v. 13), the cornerstone that becomes either foundation or crushing weight depending on one’s response (vv. 17–18), the Lord whom even David acknowledges (vv. 41–44), and the one whose teaching about God’s living covenant overturns naturalistic categories of death and finitude (vv. 37–38). Simultaneously, the chapter teaches that religious sophistication, institutional position, and publicly honored piety offer no protection from — and may in fact intensify — the judgment that falls on those who reject the Son. The greatest condemnation is reserved not for flagrant sinners but for those who leveraged religion against the vulnerable while refusing submission to the Lord of the temple.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20 functions as a canonical demonstration of total depravity at its most refined level: it is not ignorance that keeps the religious leaders from submitting to Jesus but the calculated suppression of what they know. They understand the parable (v. 19). They calculate the consequences of acknowledging John’s authority (vv. 5–7). They recognize the excellence of Jesus’ answer (v. 39). Their problem is not insufficient evidence but insufficient willingness — which is precisely the Reformed diagnosis of unbelief as moral rebellion rather than intellectual deficit. The chapter also grounds the Reformed understanding of Christ’s Lordship in the Davidic covenant: Jesus is not merely the fulfillment of human religious aspiration but the divine Lord who precedes, transcends, and grounds every human authority structure — including Israel’s own covenant institutions. The cornerstone image (v. 17) is foundational for Reformed ecclesiology: the church is not built on institutional continuity with Israel’s leadership but on the rejected and vindicated Son. Every attempt to domesticate Jesus within human authority systems — religious, political, or academic — is, in Luke 20’s terms, another variation on the tribute question: attempting to confine the Lord of the vineyard to one sphere while retaining the other for self-governance.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Lord — not a useful religious resource, not one authority among several, not the best of the prophetic tradition — Lord. Every challenge brought against that claim in Luke 20 collapses: the institution cannot contain Him, the political trap cannot catch Him, death cannot hold those who belong to Him, and no human authority category is adequate to name Him. The question the religious leaders in Jerusalem spent the whole chapter refusing to answer is the question you cannot afford to evade: What do you do with Jesus? Submit or be crushed — but do not pretend there is a third option.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debates as rhetorical technique rather than as Christological confrontation.</w:t>
      </w:r>
      <w:r>
        <w:t xml:space="preserve"> </w:t>
      </w:r>
      <w:r>
        <w:t xml:space="preserve">The five controversy episodes in Luke 20 are sometimes taught as examples of</w:t>
      </w:r>
      <w:r>
        <w:t xml:space="preserve"> </w:t>
      </w:r>
      <w:r>
        <w:t xml:space="preserve">“how Jesus handled difficult questions”</w:t>
      </w:r>
      <w:r>
        <w:t xml:space="preserve"> </w:t>
      </w:r>
      <w:r>
        <w:t xml:space="preserve">— a homiletical how-to in managing theological opponents. This is a catastrophic misreading. The debates are not showcases of Jesus’ debating skill; they are progressive demonstrations of His authority that every human challenge breaks against. The sermon should not leave people admiring Jesus’ cleverness; it should leave them confronted by His Lordship.</w:t>
      </w:r>
    </w:p>
    <w:p>
      <w:pPr>
        <w:numPr>
          <w:ilvl w:val="0"/>
          <w:numId w:val="1002"/>
        </w:numPr>
      </w:pPr>
      <w:r>
        <w:rPr>
          <w:b/>
          <w:bCs/>
        </w:rPr>
        <w:t xml:space="preserve">Moralistic use of the scribes’ warning (vv. 45–47) without grounding it in the chapter’s broader argument.</w:t>
      </w:r>
      <w:r>
        <w:t xml:space="preserve"> </w:t>
      </w:r>
      <w:r>
        <w:t xml:space="preserve">It is easy to land on verses 45–47 as a straightforward warning against religious hypocrisy — preach authentically, don’t show off, serve the vulnerable. This is not wrong, but it is seriously incomplete apart from the chapter’s Christological context. The scribes’ failure is not primarily social (they’re arrogant) or ethical (they’re greedy) — it is theological: they have refused to submit to the Lord of the temple while performing religion in the temple. Their exploitation of widows is the fruit of having made religion serve themselves rather than God. The root is Christological rejection; the fruit is moral corruption.</w:t>
      </w:r>
    </w:p>
    <w:p>
      <w:pPr>
        <w:numPr>
          <w:ilvl w:val="0"/>
          <w:numId w:val="1002"/>
        </w:numPr>
      </w:pPr>
      <w:r>
        <w:rPr>
          <w:b/>
          <w:bCs/>
        </w:rPr>
        <w:t xml:space="preserve">Domesticating the Parable of the Wicked Tenants into an historical narrative about Israel.</w:t>
      </w:r>
      <w:r>
        <w:t xml:space="preserve"> </w:t>
      </w:r>
      <w:r>
        <w:t xml:space="preserve">Treating the parable as primarily a retrospective account of Israel’s rejection of the prophets and Jesus — a completed story now safely in the past — removes its present force entirely. Jesus addresses the parable to people in the temple hearing it in real time. The tenants are not ancient figures; they are the people in front of Jesus. Every reader/hearer of Luke 20 is a tenant. The question the parable presses is not</w:t>
      </w:r>
      <w:r>
        <w:t xml:space="preserve"> </w:t>
      </w:r>
      <w:r>
        <w:t xml:space="preserve">“wasn’t it terrible what Israel did?”</w:t>
      </w:r>
      <w:r>
        <w:t xml:space="preserve"> </w:t>
      </w:r>
      <w:r>
        <w:t xml:space="preserve">but</w:t>
      </w:r>
      <w:r>
        <w:t xml:space="preserve"> </w:t>
      </w:r>
      <w:r>
        <w:t xml:space="preserve">“will you receive the Son or will you join the tenants?”</w:t>
      </w:r>
    </w:p>
    <w:p>
      <w:pPr>
        <w:numPr>
          <w:ilvl w:val="0"/>
          <w:numId w:val="1002"/>
        </w:numPr>
      </w:pPr>
      <w:r>
        <w:rPr>
          <w:b/>
          <w:bCs/>
        </w:rPr>
        <w:t xml:space="preserve">Failing to press the full weight of the Messianic question in verses 41–44.</w:t>
      </w:r>
      <w:r>
        <w:t xml:space="preserve"> </w:t>
      </w:r>
      <w:r>
        <w:t xml:space="preserve">This pericope is frequently treated as a brief Christological footnote — Jesus makes a clever point that the Messiah must be more than a political figure. But the question Jesus poses is the chapter’s Christological climax.</w:t>
      </w:r>
      <w:r>
        <w:t xml:space="preserve"> </w:t>
      </w:r>
      <w:r>
        <w:t xml:space="preserve">“Lord”</w:t>
      </w:r>
      <w:r>
        <w:t xml:space="preserve"> </w:t>
      </w:r>
      <w:r>
        <w:t xml:space="preserve">in Psalm 110:1 (</w:t>
      </w:r>
      <w:r>
        <w:rPr>
          <w:i/>
          <w:iCs/>
        </w:rPr>
        <w:t xml:space="preserve">Adonai</w:t>
      </w:r>
      <w:r>
        <w:t xml:space="preserve">) is the covenant name of God. Jesus is pressing His hearers — and every reader — toward the recognition that the Messiah is not merely David’s greatest heir but David’s divine Lord. If this is not pressed to its terminus, the preacher has left the most important truth in the pericope unstated.</w:t>
      </w:r>
    </w:p>
    <w:p>
      <w:pPr>
        <w:numPr>
          <w:ilvl w:val="0"/>
          <w:numId w:val="1002"/>
        </w:numPr>
      </w:pPr>
      <w:r>
        <w:rPr>
          <w:b/>
          <w:bCs/>
        </w:rPr>
        <w:t xml:space="preserve">Treating the resurrection argument (vv. 37–38) as merely apologetic.</w:t>
      </w:r>
      <w:r>
        <w:t xml:space="preserve"> </w:t>
      </w:r>
      <w:r>
        <w:t xml:space="preserve">Jesus’ refutation of the Sadducees is sometimes preached as a proof that resurrection is true — a useful apologetic resource when skeptics raise the problem of bodily resurrection. But the argument Jesus makes is covenantal, not merely logical. Its force is not</w:t>
      </w:r>
      <w:r>
        <w:t xml:space="preserve"> </w:t>
      </w:r>
      <w:r>
        <w:t xml:space="preserve">“here is evidence for resurrection”</w:t>
      </w:r>
      <w:r>
        <w:t xml:space="preserve"> </w:t>
      </w:r>
      <w:r>
        <w:t xml:space="preserve">but</w:t>
      </w:r>
      <w:r>
        <w:t xml:space="preserve"> </w:t>
      </w:r>
      <w:r>
        <w:t xml:space="preserve">“the living God who bound Himself to Abraham, Isaac, and Jacob in covenant cannot be the God of corpses — His faithfulness requires their resurrection.”</w:t>
      </w:r>
      <w:r>
        <w:t xml:space="preserve"> </w:t>
      </w:r>
      <w:r>
        <w:t xml:space="preserve">The sermon application is not primarily</w:t>
      </w:r>
      <w:r>
        <w:t xml:space="preserve"> </w:t>
      </w:r>
      <w:r>
        <w:t xml:space="preserve">“your doubts about resurrection are answerable”</w:t>
      </w:r>
      <w:r>
        <w:t xml:space="preserve"> </w:t>
      </w:r>
      <w:r>
        <w:t xml:space="preserve">but</w:t>
      </w:r>
      <w:r>
        <w:t xml:space="preserve"> </w:t>
      </w:r>
      <w:r>
        <w:t xml:space="preserve">“the God you belong to is not finished with you — ever.”</w:t>
      </w:r>
    </w:p>
    <w:p>
      <w:pPr>
        <w:numPr>
          <w:ilvl w:val="0"/>
          <w:numId w:val="1002"/>
        </w:numPr>
      </w:pPr>
      <w:r>
        <w:rPr>
          <w:b/>
          <w:bCs/>
        </w:rPr>
        <w:t xml:space="preserve">Allowing the Caesar-and-God distinction (vv. 20–26) to become the sermon’s center.</w:t>
      </w:r>
      <w:r>
        <w:t xml:space="preserve"> </w:t>
      </w:r>
      <w:r>
        <w:t xml:space="preserve">The tribute question is the most culturally portable pericope in the chapter and regularly generates sermons on church-state relations, political theology, or civic responsibility. These are legitimate topics but they are not what the passage is principally about. The Caesar question is one trap among five, all of which fail against the same reality: Jesus’ authority transcends every human jurisdictional claim. The</w:t>
      </w:r>
      <w:r>
        <w:t xml:space="preserve"> </w:t>
      </w:r>
      <w:r>
        <w:t xml:space="preserve">“render to God what is God’s”</w:t>
      </w:r>
      <w:r>
        <w:t xml:space="preserve"> </w:t>
      </w:r>
      <w:r>
        <w:t xml:space="preserve">half of the answer is the load-bearing half — and it implies that God’s claim is comprehensive (since humanity itself bears God’s image). The political-theology application can be made, but only after the Christological priority has been established.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2026-07-14T21:07:27Z</dcterms:created>
  <dcterms:modified xsi:type="dcterms:W3CDTF">2026-07-14T21:07:27Z</dcterms:modified>
</cp:coreProperties>
</file>

<file path=docProps/custom.xml><?xml version="1.0" encoding="utf-8"?>
<Properties xmlns="http://schemas.openxmlformats.org/officeDocument/2006/custom-properties" xmlns:vt="http://schemas.openxmlformats.org/officeDocument/2006/docPropsVTypes"/>
</file>